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Vanderbilt Assessment Scale — Informan ORANG TUA</w:t>
      </w:r>
    </w:p>
    <w:p>
      <w:pPr>
        <w:pStyle w:val="Heading2"/>
        <w:spacing w:after="150" w:before="300"/>
      </w:pPr>
      <w:r>
        <w:t xml:space="preserve">NICHQ Vanderbilt Assessment Scale — Parent Informant</w:t>
      </w:r>
    </w:p>
    <w:p>
      <w:pPr>
        <w:spacing w:after="80" w:before="80"/>
      </w:pPr>
      <w:r>
        <w:rPr>
          <w:sz w:val="22"/>
          <w:szCs w:val="22"/>
        </w:rPr>
        <w:t xml:space="preserve">Versi Bahasa Indonesia | Untuk anak usia 6–12 tahun</w:t>
      </w:r>
    </w:p>
    <w:p>
      <w:pPr>
        <w:pBdr>
          <w:bottom w:val="single" w:color="999999" w:sz="6"/>
        </w:pBdr>
        <w:spacing w:after="100" w:before="1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PETUNJUK</w:t>
      </w:r>
    </w:p>
    <w:p>
      <w:pPr>
        <w:spacing w:after="80" w:before="80"/>
      </w:pPr>
      <w:r>
        <w:rPr>
          <w:sz w:val="22"/>
          <w:szCs w:val="22"/>
        </w:rPr>
        <w:t xml:space="preserve">Setiap pertanyaan menggambarkan perilaku anak Anda. Lingkari angka yang paling sesuai:</w:t>
      </w:r>
    </w:p>
    <w:p>
      <w:pPr>
        <w:spacing w:after="80" w:before="80"/>
      </w:pPr>
      <w:r>
        <w:rPr>
          <w:sz w:val="22"/>
          <w:szCs w:val="22"/>
        </w:rPr>
        <w:t xml:space="preserve">0 = Tidak Pernah  |  1 = Jarang  |  2 = Sering  |  3 = Sangat Sering</w:t>
      </w:r>
    </w:p>
    <w:p>
      <w:pPr>
        <w:spacing w:before="200"/>
      </w:pPr>
    </w:p>
    <w:p>
      <w:pPr>
        <w:spacing w:after="80" w:before="80"/>
      </w:pPr>
      <w:r>
        <w:rPr>
          <w:b/>
          <w:bCs/>
          <w:sz w:val="22"/>
          <w:szCs w:val="22"/>
        </w:rPr>
        <w:t xml:space="preserve">DATA ANAK</w:t>
      </w:r>
    </w:p>
    <w:p>
      <w:pPr>
        <w:spacing w:after="80" w:before="80"/>
      </w:pPr>
      <w:r>
        <w:rPr>
          <w:sz w:val="22"/>
          <w:szCs w:val="22"/>
        </w:rPr>
        <w:t xml:space="preserve">Nama Anak  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Lahir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Kelas / Sekolah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Nama Orang Tua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No. Telepon        : _______________________________________________</w:t>
      </w:r>
    </w:p>
    <w:p>
      <w:pPr>
        <w:spacing w:after="80" w:before="80"/>
      </w:pPr>
      <w:r>
        <w:rPr>
          <w:sz w:val="22"/>
          <w:szCs w:val="22"/>
        </w:rPr>
        <w:t xml:space="preserve">Tanggal Pengisian  : _______________________________________________</w:t>
      </w:r>
    </w:p>
    <w:p>
      <w:pPr>
        <w:spacing w:before="200"/>
      </w:pPr>
    </w:p>
    <w:p>
      <w:pPr>
        <w:pStyle w:val="Heading2"/>
        <w:spacing w:after="150" w:before="300"/>
      </w:pPr>
      <w:r>
        <w:t xml:space="preserve">BAGIAN I — GEJALA PERILAKU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Inatensi (No. 1–9) &amp; Hiperaktif-Impulsif (No. 10–18) &amp; ODD (No. 19–26) &amp; Kecemasan/Depresi (No. 27–33)</w:t>
      </w:r>
    </w:p>
    <w:p>
      <w:pPr>
        <w:spacing w:before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Perilaku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0
Tdk Pernah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
Jarang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
Sering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
Sgt Sering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Gagal memperhatikan detail atau membuat kesalahan ceroboh dalam pekerjaan sekolah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mempertahankan perhatian pada tugas atau kegiatan bermain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Tampak tidak mendengarkan saat diajak bicara langsung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Tidak mengikuti instruksi dan gagal menyelesaikan pekerjaan rumah (bukan karena perilaku menentang atau tidak mengerti)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mengorganisasi tugas dan kegiatan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Menghindari, tidak menyukai, atau tidak mau mengerjakan tugas yang memerlukan usaha mental terus-menerus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Kehilangan benda-benda yang diperlukan untuk tugas atau kegiatan (misalnya mainan, PR, pensil)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Mudah teralihkan perhatiannya oleh rangsangan luar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Pelupa dalam kegiatan sehari-hari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Menggeliatkan tangan atau kaki atau menggeliat di tempat duduk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Meninggalkan tempat duduk di kelas atau situasi lain di mana diharapkan duduk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Berlari-lari atau memanjat secara berlebihan dalam situasi yang tidak sesuai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bermain atau melakukan kegiatan santai dengan tenang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Selalu 'dalam gerak' atau bertindak seolah 'digerakkan oleh mesin'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Berbicara terlalu banyak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Menjawab pertanyaan sebelum pertanyaan selesai diucapkan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Mengalami kesulitan menunggu giliran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Menyela atau mengganggu orang lain (misalnya memotong percakapan/permainan)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19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Bertengkar dengan orang dewasa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Mudah marah atau kehilangan kesabaran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Secara aktif menolak atau menolak untuk mematuhi permintaan atau aturan orang dewasa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Dengan sengaja mengganggu orang lain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Menyalahkan orang lain atas kesalahan atau perilaku buruknya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Mudah tersinggung atau terganggu oleh orang lain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Marah dan penuh kebencian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Pendendam atau jahat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Takut, cemas, atau khawatir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Takut mencoba hal-hal baru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29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Merasa tidak berharga atau rendah diri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Menyalahkan diri sendiri atas masalah, merasa bersalah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Merasa kesepian, tidak disukai, atau tidak dicintai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32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Sedih, tidak bahagia, atau depresi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33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Pemalu atau mudah malu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0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10%"/>
          </w:tcPr>
          <w:p>
            <w:pPr>
              <w:jc w:val="center"/>
            </w:pPr>
            <w:r>
              <w:t xml:space="preserve">3</w:t>
            </w:r>
          </w:p>
        </w:tc>
      </w:tr>
    </w:tbl>
    <w:p>
      <w:pPr>
        <w:spacing w:before="300"/>
      </w:pPr>
    </w:p>
    <w:p>
      <w:pPr>
        <w:pStyle w:val="Heading2"/>
        <w:spacing w:after="150" w:before="300"/>
      </w:pPr>
      <w:r>
        <w:t xml:space="preserve">BAGIAN II — PENILAIAN PERFORMA</w:t>
      </w:r>
    </w:p>
    <w:p>
      <w:pPr>
        <w:spacing w:after="80" w:before="80"/>
      </w:pPr>
      <w:r>
        <w:rPr>
          <w:sz w:val="22"/>
          <w:szCs w:val="22"/>
        </w:rPr>
        <w:t xml:space="preserve">Lingkari angka yang menggambarkan performa anak Anda:</w:t>
      </w:r>
    </w:p>
    <w:p>
      <w:pPr>
        <w:spacing w:after="80" w:before="80"/>
      </w:pPr>
      <w:r>
        <w:rPr>
          <w:sz w:val="22"/>
          <w:szCs w:val="22"/>
        </w:rPr>
        <w:t xml:space="preserve">1 = Sangat Baik  |  2 = Di atas Rata-rata  |  3 = Rata-rata  |  4 = Sedikit di bawah Rata-rata  |  5 = Bermasalah</w:t>
      </w:r>
    </w:p>
    <w:p>
      <w:pPr>
        <w:spacing w:before="1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Area Performa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shd w:fill="DCE6F1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34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Performa sekolah secara keseluruhan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35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Membaca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36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Menulis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37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Matematika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38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Hubungan dengan orang tua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39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Hubungan dengan saudara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40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Hubungan dengan teman sebaya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  <w:tr>
        <w:tc>
          <w:tcPr>
            <w:tcW w:type="pct" w:w="5%"/>
          </w:tcPr>
          <w:p>
            <w:r>
              <w:rPr>
                <w:sz w:val="20"/>
                <w:szCs w:val="20"/>
              </w:rPr>
              <w:t xml:space="preserve">41</w:t>
            </w:r>
          </w:p>
        </w:tc>
        <w:tc>
          <w:tcPr>
            <w:tcW w:type="pct" w:w="55%"/>
          </w:tcPr>
          <w:p>
            <w:r>
              <w:rPr>
                <w:sz w:val="20"/>
                <w:szCs w:val="20"/>
              </w:rPr>
              <w:t xml:space="preserve">Partisipasi dalam kegiatan terorganisir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1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3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4</w:t>
            </w:r>
          </w:p>
        </w:tc>
        <w:tc>
          <w:tcPr>
            <w:tcW w:type="pct" w:w="8%"/>
          </w:tcPr>
          <w:p>
            <w:pPr>
              <w:jc w:val="center"/>
            </w:pPr>
            <w:r>
              <w:t xml:space="preserve">5</w:t>
            </w:r>
          </w:p>
        </w:tc>
      </w:tr>
    </w:tbl>
    <w:p>
      <w:pPr>
        <w:spacing w:before="300"/>
      </w:pPr>
    </w:p>
    <w:p>
      <w:pPr>
        <w:pStyle w:val="Heading2"/>
        <w:spacing w:after="150" w:before="300"/>
      </w:pPr>
      <w:r>
        <w:t xml:space="preserve">CARA PENILAIAN / SCORING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Kriteria ADHD — Inatensi (No. 1–9):</w:t>
      </w:r>
    </w:p>
    <w:p>
      <w:pPr>
        <w:spacing w:after="80" w:before="80"/>
      </w:pPr>
      <w:r>
        <w:rPr>
          <w:sz w:val="22"/>
          <w:szCs w:val="22"/>
        </w:rPr>
        <w:t xml:space="preserve">• Hitung jawaban 'Sering (2)' atau 'Sangat Sering (3)'</w:t>
      </w:r>
    </w:p>
    <w:p>
      <w:pPr>
        <w:spacing w:after="80" w:before="80"/>
      </w:pPr>
      <w:r>
        <w:rPr>
          <w:sz w:val="22"/>
          <w:szCs w:val="22"/>
        </w:rPr>
        <w:t xml:space="preserve">• ≥ 6 jawaban positif → kemungkinan ADHD tipe Inatensi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Kriteria ADHD — Hiperaktif-Impulsif (No. 10–18):</w:t>
      </w:r>
    </w:p>
    <w:p>
      <w:pPr>
        <w:spacing w:after="80" w:before="80"/>
      </w:pPr>
      <w:r>
        <w:rPr>
          <w:sz w:val="22"/>
          <w:szCs w:val="22"/>
        </w:rPr>
        <w:t xml:space="preserve">• ≥ 6 jawaban positif → kemungkinan ADHD tipe Hiperaktif-Impulsif</w:t>
      </w:r>
    </w:p>
    <w:p>
      <w:pPr>
        <w:spacing w:after="80" w:before="80"/>
      </w:pPr>
      <w:r>
        <w:rPr>
          <w:sz w:val="22"/>
          <w:szCs w:val="22"/>
        </w:rPr>
        <w:t xml:space="preserve">• Jika keduanya terpenuhi → ADHD tipe Kombinasi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ODD (No. 19–26):</w:t>
      </w:r>
    </w:p>
    <w:p>
      <w:pPr>
        <w:spacing w:after="80" w:before="80"/>
      </w:pPr>
      <w:r>
        <w:rPr>
          <w:sz w:val="22"/>
          <w:szCs w:val="22"/>
        </w:rPr>
        <w:t xml:space="preserve">• ≥ 4 jawaban positif → kemungkinan ada gangguan perilaku oposisional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Kecemasan/Depresi (No. 27–33):</w:t>
      </w:r>
    </w:p>
    <w:p>
      <w:pPr>
        <w:spacing w:after="80" w:before="80"/>
      </w:pPr>
      <w:r>
        <w:rPr>
          <w:sz w:val="22"/>
          <w:szCs w:val="22"/>
        </w:rPr>
        <w:t xml:space="preserve">• ≥ 3 jawaban positif → perlu evaluasi lebih lanjut untuk kecemasan/depresi</w:t>
      </w:r>
    </w:p>
    <w:p>
      <w:pPr>
        <w:spacing w:after="80" w:before="80"/>
      </w:pPr>
      <w:r>
        <w:rPr>
          <w:b/>
          <w:bCs/>
          <w:sz w:val="22"/>
          <w:szCs w:val="22"/>
        </w:rPr>
        <w:t xml:space="preserve">Performa (No. 34–41):</w:t>
      </w:r>
    </w:p>
    <w:p>
      <w:pPr>
        <w:spacing w:after="80" w:before="80"/>
      </w:pPr>
      <w:r>
        <w:rPr>
          <w:sz w:val="22"/>
          <w:szCs w:val="22"/>
        </w:rPr>
        <w:t xml:space="preserve">• Skor 4 atau 5 pada ≥ 2 item → terdapat gangguan performa yang signifikan</w:t>
      </w:r>
    </w:p>
    <w:p>
      <w:pPr>
        <w:spacing w:before="200"/>
      </w:pPr>
    </w:p>
    <w:p>
      <w:pPr>
        <w:pStyle w:val="Heading2"/>
        <w:spacing w:after="150" w:before="300"/>
      </w:pPr>
      <w:r>
        <w:t xml:space="preserve">CATATAN</w:t>
      </w:r>
    </w:p>
    <w:p>
      <w:pPr>
        <w:spacing w:after="80" w:before="80"/>
      </w:pPr>
      <w:r>
        <w:rPr>
          <w:sz w:val="22"/>
          <w:szCs w:val="22"/>
        </w:rPr>
        <w:t xml:space="preserve">⚠️  Hasil kuesioner ini harus dikonfirmasi dengan kuesioner guru dan evaluasi klinis oleh profesional kesehatan.</w:t>
      </w:r>
    </w:p>
    <w:p>
      <w:pPr>
        <w:spacing w:after="80" w:before="80"/>
      </w:pPr>
      <w:r>
        <w:rPr>
          <w:sz w:val="22"/>
          <w:szCs w:val="22"/>
        </w:rPr>
        <w:t xml:space="preserve">Sumber: Wolraich ML, et al. Pediatrics, 2003. NICHQ Vanderbilt Assessment Scale.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2026-07-25T06:47:52.211Z</dcterms:created>
  <dcterms:modified xsi:type="dcterms:W3CDTF">2026-07-25T06:47:52.211Z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